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4369" w14:textId="1080B925" w:rsidR="00642576" w:rsidRPr="00642576" w:rsidRDefault="00642576" w:rsidP="00642576">
      <w:pPr>
        <w:rPr>
          <w:b/>
          <w:bCs/>
        </w:rPr>
      </w:pPr>
      <w:r w:rsidRPr="00642576">
        <w:rPr>
          <w:b/>
          <w:bCs/>
        </w:rPr>
        <w:t>DETCOG Transportation Plan RFP – Q&amp;A</w:t>
      </w:r>
      <w:r w:rsidR="00113AF4">
        <w:rPr>
          <w:b/>
          <w:bCs/>
        </w:rPr>
        <w:t xml:space="preserve"> Updated 5/12/25</w:t>
      </w:r>
    </w:p>
    <w:p w14:paraId="7B77D77A" w14:textId="77777777" w:rsidR="00642576" w:rsidRPr="00642576" w:rsidRDefault="00642576" w:rsidP="00642576">
      <w:r w:rsidRPr="00642576">
        <w:rPr>
          <w:b/>
          <w:bCs/>
        </w:rPr>
        <w:t>1. Please confirm the PTN 130 is not included in the 25 page limit.</w:t>
      </w:r>
      <w:r w:rsidRPr="00642576">
        <w:br/>
        <w:t>Yes, the PTN-130 form is not included in the 25-page limit and may be included as an appendix.</w:t>
      </w:r>
    </w:p>
    <w:p w14:paraId="3F925656" w14:textId="77777777" w:rsidR="00642576" w:rsidRPr="00642576" w:rsidRDefault="00642576" w:rsidP="00642576">
      <w:r w:rsidRPr="00642576">
        <w:rPr>
          <w:b/>
          <w:bCs/>
        </w:rPr>
        <w:t>2. Please confirm the separate, sealed cost proposal is not included in the electronic copy.</w:t>
      </w:r>
      <w:r w:rsidRPr="00642576">
        <w:br/>
        <w:t>Correct. The separate, sealed cost proposal should not be included in the electronic copy of the proposal.</w:t>
      </w:r>
    </w:p>
    <w:p w14:paraId="6C06F42F" w14:textId="77777777" w:rsidR="00642576" w:rsidRPr="00642576" w:rsidRDefault="00642576" w:rsidP="00642576">
      <w:r w:rsidRPr="00642576">
        <w:rPr>
          <w:b/>
          <w:bCs/>
        </w:rPr>
        <w:t>3. Is it correct that the demographic assessment and Transit Needs Index should include all of the following factors: seniors and individuals with disabilities, low</w:t>
      </w:r>
      <w:r w:rsidRPr="00642576">
        <w:rPr>
          <w:rFonts w:ascii="Cambria Math" w:hAnsi="Cambria Math" w:cs="Cambria Math"/>
          <w:b/>
          <w:bCs/>
        </w:rPr>
        <w:t>‐</w:t>
      </w:r>
      <w:r w:rsidRPr="00642576">
        <w:rPr>
          <w:b/>
          <w:bCs/>
        </w:rPr>
        <w:t>income residents, zero car households, youths, residents with limited English proficiency, veterans, and clients of workforce agencies?</w:t>
      </w:r>
      <w:r w:rsidRPr="00642576">
        <w:br/>
        <w:t>Yes, that is correct. All of the listed factors should be included in the demographic assessment and Transit Needs Index.</w:t>
      </w:r>
    </w:p>
    <w:p w14:paraId="61D2B232" w14:textId="2F480D4C" w:rsidR="00642576" w:rsidRPr="00642576" w:rsidRDefault="00642576" w:rsidP="00642576">
      <w:r w:rsidRPr="00642576">
        <w:rPr>
          <w:b/>
          <w:bCs/>
        </w:rPr>
        <w:t>4. Can you confirm what counties should be included in the study area?</w:t>
      </w:r>
      <w:r w:rsidRPr="00642576">
        <w:br/>
        <w:t>The study area should include all 1</w:t>
      </w:r>
      <w:r>
        <w:t>1</w:t>
      </w:r>
      <w:r w:rsidRPr="00642576">
        <w:t xml:space="preserve"> counties within the DETCOG region: Angelina, Houston, Nacogdoches, Newton, Polk, Sabine, San Augustine, San Jacinto, Shelby, Trinity, and Tyler.</w:t>
      </w:r>
    </w:p>
    <w:p w14:paraId="6B0B2392" w14:textId="77777777" w:rsidR="00642576" w:rsidRPr="00642576" w:rsidRDefault="00642576" w:rsidP="00642576">
      <w:r w:rsidRPr="00642576">
        <w:rPr>
          <w:b/>
          <w:bCs/>
        </w:rPr>
        <w:t>5. Regarding Task 3: Do you prefer Workshop #1 to be an opportunity to meet in person, or is a virtual meeting better?</w:t>
      </w:r>
      <w:r w:rsidRPr="00642576">
        <w:br/>
        <w:t>DETCOG is flexible. We can host the meeting in person and allow the consultant to participate virtually if needed.</w:t>
      </w:r>
    </w:p>
    <w:p w14:paraId="25607819" w14:textId="77777777" w:rsidR="00642576" w:rsidRPr="00642576" w:rsidRDefault="00642576" w:rsidP="00642576">
      <w:r w:rsidRPr="00642576">
        <w:rPr>
          <w:b/>
          <w:bCs/>
        </w:rPr>
        <w:t>6. Regarding public and stakeholder engagement for all tasks, do you prefer meetings to be held live (in person) or virtually? Planning for the method of facilitating the meetings helps us provide an accurate cost proposal.</w:t>
      </w:r>
      <w:r w:rsidRPr="00642576">
        <w:br/>
        <w:t>DETCOG is open to virtual or hybrid meetings. We can host meetings in person for the public and stakeholders, while allowing consultants to attend virtually if more cost-effective.</w:t>
      </w:r>
    </w:p>
    <w:p w14:paraId="00EC2BD5" w14:textId="77777777" w:rsidR="00642576" w:rsidRPr="00642576" w:rsidRDefault="00642576" w:rsidP="00642576">
      <w:r w:rsidRPr="00642576">
        <w:rPr>
          <w:b/>
          <w:bCs/>
        </w:rPr>
        <w:t>7. Do DETCOG or any of the local public transit systems have Remix software for transit planning?</w:t>
      </w:r>
      <w:r w:rsidRPr="00642576">
        <w:br/>
        <w:t>No, neither DETCOG nor any of the local public transit systems currently have access to Remix software.</w:t>
      </w:r>
    </w:p>
    <w:p w14:paraId="7F5A2832" w14:textId="69D4F447" w:rsidR="00642576" w:rsidRPr="00642576" w:rsidRDefault="00642576" w:rsidP="00642576">
      <w:r w:rsidRPr="00642576">
        <w:rPr>
          <w:b/>
          <w:bCs/>
        </w:rPr>
        <w:t>8. The 2022-2027 Coordinated Plan states that half the counties in the region did not have public transit. Is that still the case?</w:t>
      </w:r>
      <w:r w:rsidRPr="00642576">
        <w:br/>
      </w:r>
      <w:r w:rsidRPr="00642576">
        <w:lastRenderedPageBreak/>
        <w:t>Yes, that remains accurate. Approximately half of the counties in the DETCOG region do not have fixed-route or dedicated public transit service.</w:t>
      </w:r>
      <w:r>
        <w:t xml:space="preserve"> Brazos Transit District is operating a pilot demand and response service to Tyler, Sabine, San Augustine and Shelby Counties. Newton county remains completely unserved.</w:t>
      </w:r>
    </w:p>
    <w:p w14:paraId="40C5119B" w14:textId="77777777" w:rsidR="00642576" w:rsidRPr="00642576" w:rsidRDefault="00642576" w:rsidP="00642576">
      <w:r w:rsidRPr="00642576">
        <w:rPr>
          <w:b/>
          <w:bCs/>
        </w:rPr>
        <w:t>9. Regarding Task 4: Do you anticipate that TxDOT will prefer to have a presentation of Chapters 1 through 6 in addition to reviewing the interim plan?</w:t>
      </w:r>
      <w:r w:rsidRPr="00642576">
        <w:br/>
        <w:t>Yes, a presentation of Chapters 1 through 6 is anticipated and should be included in the scope of work alongside submission of the interim plan.</w:t>
      </w:r>
    </w:p>
    <w:p w14:paraId="63414E09" w14:textId="77777777" w:rsidR="00642576" w:rsidRPr="00642576" w:rsidRDefault="00642576" w:rsidP="00642576">
      <w:r w:rsidRPr="00642576">
        <w:rPr>
          <w:b/>
          <w:bCs/>
        </w:rPr>
        <w:t>10. Regarding Task 5: Do you prefer Workshop #2 for the RCC to be conducted virtually, in-person, or hybrid (in-person with the option for RCC members to participate virtually)?</w:t>
      </w:r>
      <w:r w:rsidRPr="00642576">
        <w:br/>
        <w:t>A hybrid format is preferred. DETCOG can host in person and offer virtual participation for RCC members as needed.</w:t>
      </w:r>
    </w:p>
    <w:p w14:paraId="5B5B8A3B" w14:textId="77777777" w:rsidR="00642576" w:rsidRPr="00642576" w:rsidRDefault="00642576" w:rsidP="00642576">
      <w:r w:rsidRPr="00642576">
        <w:rPr>
          <w:b/>
          <w:bCs/>
        </w:rPr>
        <w:t>11. Regarding Task 6: Will the final presentation to the Agency/RCC be in person or virtual?</w:t>
      </w:r>
      <w:r w:rsidRPr="00642576">
        <w:br/>
        <w:t>DETCOG is open to either an in-person or virtual presentation. Hybrid participation may also be considered depending on availability and scheduling.</w:t>
      </w:r>
    </w:p>
    <w:p w14:paraId="61D2E6E7" w14:textId="77777777" w:rsidR="00642576" w:rsidRPr="00642576" w:rsidRDefault="00642576" w:rsidP="00642576">
      <w:r w:rsidRPr="00642576">
        <w:rPr>
          <w:b/>
          <w:bCs/>
        </w:rPr>
        <w:t>12. Regarding Task 6: Would you like the consultant to make a formal presentation of the final plan to a local board or committee?</w:t>
      </w:r>
      <w:r w:rsidRPr="00642576">
        <w:br/>
        <w:t>Yes, DETCOG would like the consultant to make a formal presentation of the final plan to the RCC and/or another designated local committee.</w:t>
      </w:r>
    </w:p>
    <w:p w14:paraId="25A17C31" w14:textId="2455C162" w:rsidR="00642576" w:rsidRPr="00642576" w:rsidRDefault="00642576" w:rsidP="00642576">
      <w:r w:rsidRPr="00642576">
        <w:rPr>
          <w:b/>
          <w:bCs/>
        </w:rPr>
        <w:t>1</w:t>
      </w:r>
      <w:r w:rsidR="00113AF4">
        <w:rPr>
          <w:b/>
          <w:bCs/>
        </w:rPr>
        <w:t>3</w:t>
      </w:r>
      <w:r w:rsidRPr="00642576">
        <w:rPr>
          <w:b/>
          <w:bCs/>
        </w:rPr>
        <w:t>. Can you confirm what counties should be included in the study area?</w:t>
      </w:r>
      <w:r w:rsidRPr="00642576">
        <w:br/>
        <w:t>Yes, the study area should include all 1</w:t>
      </w:r>
      <w:r w:rsidR="006C6B04">
        <w:t>1</w:t>
      </w:r>
      <w:r w:rsidRPr="00642576">
        <w:t xml:space="preserve"> DETCOG counties: Angelina, Houston, Nacogdoches, Newton, Polk, Sabine, San Augustine, San Jacinto, Shelby, Trinity, and Tyler.</w:t>
      </w:r>
    </w:p>
    <w:p w14:paraId="3F26212B" w14:textId="5FD58693" w:rsidR="00642576" w:rsidRPr="00642576" w:rsidRDefault="00642576" w:rsidP="00642576">
      <w:r w:rsidRPr="00642576">
        <w:rPr>
          <w:b/>
          <w:bCs/>
        </w:rPr>
        <w:t>1</w:t>
      </w:r>
      <w:r w:rsidR="00113AF4">
        <w:rPr>
          <w:b/>
          <w:bCs/>
        </w:rPr>
        <w:t>4</w:t>
      </w:r>
      <w:r w:rsidRPr="00642576">
        <w:rPr>
          <w:b/>
          <w:bCs/>
        </w:rPr>
        <w:t>. Per the RFP, submission of a completed form PTN-130 is required. This form includes 16 pages. Per the RFP, bidder proposals are limited to 25 pages.</w:t>
      </w:r>
      <w:r w:rsidRPr="00642576">
        <w:br/>
        <w:t>Correct, the PTN-130 form is required and may be included as an appendix. It does not count toward the 25-page narrative limit.</w:t>
      </w:r>
    </w:p>
    <w:p w14:paraId="34D33F65" w14:textId="03DE0B1E" w:rsidR="00642576" w:rsidRPr="00642576" w:rsidRDefault="00642576" w:rsidP="00642576">
      <w:r w:rsidRPr="00642576">
        <w:rPr>
          <w:b/>
          <w:bCs/>
        </w:rPr>
        <w:t>1</w:t>
      </w:r>
      <w:r w:rsidR="00113AF4">
        <w:rPr>
          <w:b/>
          <w:bCs/>
        </w:rPr>
        <w:t>5</w:t>
      </w:r>
      <w:r w:rsidRPr="00642576">
        <w:rPr>
          <w:b/>
          <w:bCs/>
        </w:rPr>
        <w:t>. Would it be acceptable to include a completed form PTN-130 as an Appendix to the proposal? And if so, to adjust the page limit accordingly?</w:t>
      </w:r>
      <w:r w:rsidRPr="00642576">
        <w:br/>
        <w:t>Yes, including the PTN-130 form as an appendix is acceptable, and it will not count toward the 25-page proposal limit.</w:t>
      </w:r>
    </w:p>
    <w:p w14:paraId="45709B84" w14:textId="77777777" w:rsidR="00FF4112" w:rsidRDefault="00FF4112"/>
    <w:sectPr w:rsidR="00FF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9675E"/>
    <w:multiLevelType w:val="multilevel"/>
    <w:tmpl w:val="9BBE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7E1C"/>
    <w:multiLevelType w:val="multilevel"/>
    <w:tmpl w:val="937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03750"/>
    <w:multiLevelType w:val="multilevel"/>
    <w:tmpl w:val="70C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E7296"/>
    <w:multiLevelType w:val="multilevel"/>
    <w:tmpl w:val="5242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240677">
    <w:abstractNumId w:val="3"/>
  </w:num>
  <w:num w:numId="2" w16cid:durableId="528757268">
    <w:abstractNumId w:val="2"/>
  </w:num>
  <w:num w:numId="3" w16cid:durableId="600604187">
    <w:abstractNumId w:val="0"/>
  </w:num>
  <w:num w:numId="4" w16cid:durableId="89555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76"/>
    <w:rsid w:val="000261C6"/>
    <w:rsid w:val="00073C54"/>
    <w:rsid w:val="00113AF4"/>
    <w:rsid w:val="002409A2"/>
    <w:rsid w:val="00381683"/>
    <w:rsid w:val="003A3B8D"/>
    <w:rsid w:val="00641423"/>
    <w:rsid w:val="00642576"/>
    <w:rsid w:val="006C6B04"/>
    <w:rsid w:val="0089027C"/>
    <w:rsid w:val="00957838"/>
    <w:rsid w:val="009B0997"/>
    <w:rsid w:val="009F4B50"/>
    <w:rsid w:val="00A45599"/>
    <w:rsid w:val="00A87752"/>
    <w:rsid w:val="00C238F8"/>
    <w:rsid w:val="00DC22AE"/>
    <w:rsid w:val="00E01C14"/>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A599"/>
  <w15:chartTrackingRefBased/>
  <w15:docId w15:val="{B529EA84-ED7B-4005-8D4E-BDBAF01B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576"/>
    <w:rPr>
      <w:rFonts w:eastAsiaTheme="majorEastAsia" w:cstheme="majorBidi"/>
      <w:color w:val="272727" w:themeColor="text1" w:themeTint="D8"/>
    </w:rPr>
  </w:style>
  <w:style w:type="paragraph" w:styleId="Title">
    <w:name w:val="Title"/>
    <w:basedOn w:val="Normal"/>
    <w:next w:val="Normal"/>
    <w:link w:val="TitleChar"/>
    <w:uiPriority w:val="10"/>
    <w:qFormat/>
    <w:rsid w:val="00642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576"/>
    <w:pPr>
      <w:spacing w:before="160"/>
      <w:jc w:val="center"/>
    </w:pPr>
    <w:rPr>
      <w:i/>
      <w:iCs/>
      <w:color w:val="404040" w:themeColor="text1" w:themeTint="BF"/>
    </w:rPr>
  </w:style>
  <w:style w:type="character" w:customStyle="1" w:styleId="QuoteChar">
    <w:name w:val="Quote Char"/>
    <w:basedOn w:val="DefaultParagraphFont"/>
    <w:link w:val="Quote"/>
    <w:uiPriority w:val="29"/>
    <w:rsid w:val="00642576"/>
    <w:rPr>
      <w:i/>
      <w:iCs/>
      <w:color w:val="404040" w:themeColor="text1" w:themeTint="BF"/>
    </w:rPr>
  </w:style>
  <w:style w:type="paragraph" w:styleId="ListParagraph">
    <w:name w:val="List Paragraph"/>
    <w:basedOn w:val="Normal"/>
    <w:uiPriority w:val="34"/>
    <w:qFormat/>
    <w:rsid w:val="00642576"/>
    <w:pPr>
      <w:ind w:left="720"/>
      <w:contextualSpacing/>
    </w:pPr>
  </w:style>
  <w:style w:type="character" w:styleId="IntenseEmphasis">
    <w:name w:val="Intense Emphasis"/>
    <w:basedOn w:val="DefaultParagraphFont"/>
    <w:uiPriority w:val="21"/>
    <w:qFormat/>
    <w:rsid w:val="00642576"/>
    <w:rPr>
      <w:i/>
      <w:iCs/>
      <w:color w:val="0F4761" w:themeColor="accent1" w:themeShade="BF"/>
    </w:rPr>
  </w:style>
  <w:style w:type="paragraph" w:styleId="IntenseQuote">
    <w:name w:val="Intense Quote"/>
    <w:basedOn w:val="Normal"/>
    <w:next w:val="Normal"/>
    <w:link w:val="IntenseQuoteChar"/>
    <w:uiPriority w:val="30"/>
    <w:qFormat/>
    <w:rsid w:val="00642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576"/>
    <w:rPr>
      <w:i/>
      <w:iCs/>
      <w:color w:val="0F4761" w:themeColor="accent1" w:themeShade="BF"/>
    </w:rPr>
  </w:style>
  <w:style w:type="character" w:styleId="IntenseReference">
    <w:name w:val="Intense Reference"/>
    <w:basedOn w:val="DefaultParagraphFont"/>
    <w:uiPriority w:val="32"/>
    <w:qFormat/>
    <w:rsid w:val="00642576"/>
    <w:rPr>
      <w:b/>
      <w:bCs/>
      <w:smallCaps/>
      <w:color w:val="0F4761" w:themeColor="accent1" w:themeShade="BF"/>
      <w:spacing w:val="5"/>
    </w:rPr>
  </w:style>
  <w:style w:type="paragraph" w:styleId="NormalWeb">
    <w:name w:val="Normal (Web)"/>
    <w:basedOn w:val="Normal"/>
    <w:uiPriority w:val="99"/>
    <w:semiHidden/>
    <w:unhideWhenUsed/>
    <w:rsid w:val="0064257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imhdjbcmh">
    <w:name w:val="markimhdjbcmh"/>
    <w:basedOn w:val="DefaultParagraphFont"/>
    <w:rsid w:val="0064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52193">
      <w:bodyDiv w:val="1"/>
      <w:marLeft w:val="0"/>
      <w:marRight w:val="0"/>
      <w:marTop w:val="0"/>
      <w:marBottom w:val="0"/>
      <w:divBdr>
        <w:top w:val="none" w:sz="0" w:space="0" w:color="auto"/>
        <w:left w:val="none" w:sz="0" w:space="0" w:color="auto"/>
        <w:bottom w:val="none" w:sz="0" w:space="0" w:color="auto"/>
        <w:right w:val="none" w:sz="0" w:space="0" w:color="auto"/>
      </w:divBdr>
    </w:div>
    <w:div w:id="163055054">
      <w:bodyDiv w:val="1"/>
      <w:marLeft w:val="0"/>
      <w:marRight w:val="0"/>
      <w:marTop w:val="0"/>
      <w:marBottom w:val="0"/>
      <w:divBdr>
        <w:top w:val="none" w:sz="0" w:space="0" w:color="auto"/>
        <w:left w:val="none" w:sz="0" w:space="0" w:color="auto"/>
        <w:bottom w:val="none" w:sz="0" w:space="0" w:color="auto"/>
        <w:right w:val="none" w:sz="0" w:space="0" w:color="auto"/>
      </w:divBdr>
    </w:div>
    <w:div w:id="594754729">
      <w:bodyDiv w:val="1"/>
      <w:marLeft w:val="0"/>
      <w:marRight w:val="0"/>
      <w:marTop w:val="0"/>
      <w:marBottom w:val="0"/>
      <w:divBdr>
        <w:top w:val="none" w:sz="0" w:space="0" w:color="auto"/>
        <w:left w:val="none" w:sz="0" w:space="0" w:color="auto"/>
        <w:bottom w:val="none" w:sz="0" w:space="0" w:color="auto"/>
        <w:right w:val="none" w:sz="0" w:space="0" w:color="auto"/>
      </w:divBdr>
    </w:div>
    <w:div w:id="604460727">
      <w:bodyDiv w:val="1"/>
      <w:marLeft w:val="0"/>
      <w:marRight w:val="0"/>
      <w:marTop w:val="0"/>
      <w:marBottom w:val="0"/>
      <w:divBdr>
        <w:top w:val="none" w:sz="0" w:space="0" w:color="auto"/>
        <w:left w:val="none" w:sz="0" w:space="0" w:color="auto"/>
        <w:bottom w:val="none" w:sz="0" w:space="0" w:color="auto"/>
        <w:right w:val="none" w:sz="0" w:space="0" w:color="auto"/>
      </w:divBdr>
    </w:div>
    <w:div w:id="680737054">
      <w:bodyDiv w:val="1"/>
      <w:marLeft w:val="0"/>
      <w:marRight w:val="0"/>
      <w:marTop w:val="0"/>
      <w:marBottom w:val="0"/>
      <w:divBdr>
        <w:top w:val="none" w:sz="0" w:space="0" w:color="auto"/>
        <w:left w:val="none" w:sz="0" w:space="0" w:color="auto"/>
        <w:bottom w:val="none" w:sz="0" w:space="0" w:color="auto"/>
        <w:right w:val="none" w:sz="0" w:space="0" w:color="auto"/>
      </w:divBdr>
      <w:divsChild>
        <w:div w:id="1006707724">
          <w:marLeft w:val="0"/>
          <w:marRight w:val="0"/>
          <w:marTop w:val="0"/>
          <w:marBottom w:val="0"/>
          <w:divBdr>
            <w:top w:val="none" w:sz="0" w:space="0" w:color="auto"/>
            <w:left w:val="none" w:sz="0" w:space="0" w:color="auto"/>
            <w:bottom w:val="none" w:sz="0" w:space="0" w:color="auto"/>
            <w:right w:val="none" w:sz="0" w:space="0" w:color="auto"/>
          </w:divBdr>
        </w:div>
        <w:div w:id="1819372607">
          <w:marLeft w:val="0"/>
          <w:marRight w:val="0"/>
          <w:marTop w:val="0"/>
          <w:marBottom w:val="0"/>
          <w:divBdr>
            <w:top w:val="none" w:sz="0" w:space="0" w:color="auto"/>
            <w:left w:val="none" w:sz="0" w:space="0" w:color="auto"/>
            <w:bottom w:val="none" w:sz="0" w:space="0" w:color="auto"/>
            <w:right w:val="none" w:sz="0" w:space="0" w:color="auto"/>
          </w:divBdr>
        </w:div>
        <w:div w:id="1310357433">
          <w:marLeft w:val="0"/>
          <w:marRight w:val="0"/>
          <w:marTop w:val="0"/>
          <w:marBottom w:val="0"/>
          <w:divBdr>
            <w:top w:val="none" w:sz="0" w:space="0" w:color="auto"/>
            <w:left w:val="none" w:sz="0" w:space="0" w:color="auto"/>
            <w:bottom w:val="none" w:sz="0" w:space="0" w:color="auto"/>
            <w:right w:val="none" w:sz="0" w:space="0" w:color="auto"/>
          </w:divBdr>
        </w:div>
        <w:div w:id="576211200">
          <w:marLeft w:val="0"/>
          <w:marRight w:val="0"/>
          <w:marTop w:val="0"/>
          <w:marBottom w:val="0"/>
          <w:divBdr>
            <w:top w:val="none" w:sz="0" w:space="0" w:color="auto"/>
            <w:left w:val="none" w:sz="0" w:space="0" w:color="auto"/>
            <w:bottom w:val="none" w:sz="0" w:space="0" w:color="auto"/>
            <w:right w:val="none" w:sz="0" w:space="0" w:color="auto"/>
          </w:divBdr>
        </w:div>
        <w:div w:id="477574272">
          <w:marLeft w:val="0"/>
          <w:marRight w:val="0"/>
          <w:marTop w:val="0"/>
          <w:marBottom w:val="0"/>
          <w:divBdr>
            <w:top w:val="none" w:sz="0" w:space="0" w:color="auto"/>
            <w:left w:val="none" w:sz="0" w:space="0" w:color="auto"/>
            <w:bottom w:val="none" w:sz="0" w:space="0" w:color="auto"/>
            <w:right w:val="none" w:sz="0" w:space="0" w:color="auto"/>
          </w:divBdr>
        </w:div>
        <w:div w:id="514464733">
          <w:marLeft w:val="0"/>
          <w:marRight w:val="0"/>
          <w:marTop w:val="0"/>
          <w:marBottom w:val="0"/>
          <w:divBdr>
            <w:top w:val="none" w:sz="0" w:space="0" w:color="auto"/>
            <w:left w:val="none" w:sz="0" w:space="0" w:color="auto"/>
            <w:bottom w:val="none" w:sz="0" w:space="0" w:color="auto"/>
            <w:right w:val="none" w:sz="0" w:space="0" w:color="auto"/>
          </w:divBdr>
        </w:div>
        <w:div w:id="1816794210">
          <w:marLeft w:val="0"/>
          <w:marRight w:val="0"/>
          <w:marTop w:val="0"/>
          <w:marBottom w:val="0"/>
          <w:divBdr>
            <w:top w:val="none" w:sz="0" w:space="0" w:color="auto"/>
            <w:left w:val="none" w:sz="0" w:space="0" w:color="auto"/>
            <w:bottom w:val="none" w:sz="0" w:space="0" w:color="auto"/>
            <w:right w:val="none" w:sz="0" w:space="0" w:color="auto"/>
          </w:divBdr>
        </w:div>
        <w:div w:id="23407988">
          <w:marLeft w:val="0"/>
          <w:marRight w:val="0"/>
          <w:marTop w:val="0"/>
          <w:marBottom w:val="0"/>
          <w:divBdr>
            <w:top w:val="none" w:sz="0" w:space="0" w:color="auto"/>
            <w:left w:val="none" w:sz="0" w:space="0" w:color="auto"/>
            <w:bottom w:val="none" w:sz="0" w:space="0" w:color="auto"/>
            <w:right w:val="none" w:sz="0" w:space="0" w:color="auto"/>
          </w:divBdr>
        </w:div>
        <w:div w:id="1155878946">
          <w:marLeft w:val="0"/>
          <w:marRight w:val="0"/>
          <w:marTop w:val="0"/>
          <w:marBottom w:val="0"/>
          <w:divBdr>
            <w:top w:val="none" w:sz="0" w:space="0" w:color="auto"/>
            <w:left w:val="none" w:sz="0" w:space="0" w:color="auto"/>
            <w:bottom w:val="none" w:sz="0" w:space="0" w:color="auto"/>
            <w:right w:val="none" w:sz="0" w:space="0" w:color="auto"/>
          </w:divBdr>
        </w:div>
        <w:div w:id="944459982">
          <w:marLeft w:val="0"/>
          <w:marRight w:val="0"/>
          <w:marTop w:val="0"/>
          <w:marBottom w:val="0"/>
          <w:divBdr>
            <w:top w:val="none" w:sz="0" w:space="0" w:color="auto"/>
            <w:left w:val="none" w:sz="0" w:space="0" w:color="auto"/>
            <w:bottom w:val="none" w:sz="0" w:space="0" w:color="auto"/>
            <w:right w:val="none" w:sz="0" w:space="0" w:color="auto"/>
          </w:divBdr>
        </w:div>
        <w:div w:id="8872355">
          <w:marLeft w:val="0"/>
          <w:marRight w:val="0"/>
          <w:marTop w:val="0"/>
          <w:marBottom w:val="0"/>
          <w:divBdr>
            <w:top w:val="none" w:sz="0" w:space="0" w:color="auto"/>
            <w:left w:val="none" w:sz="0" w:space="0" w:color="auto"/>
            <w:bottom w:val="none" w:sz="0" w:space="0" w:color="auto"/>
            <w:right w:val="none" w:sz="0" w:space="0" w:color="auto"/>
          </w:divBdr>
        </w:div>
        <w:div w:id="1292899471">
          <w:marLeft w:val="0"/>
          <w:marRight w:val="0"/>
          <w:marTop w:val="0"/>
          <w:marBottom w:val="0"/>
          <w:divBdr>
            <w:top w:val="none" w:sz="0" w:space="0" w:color="auto"/>
            <w:left w:val="none" w:sz="0" w:space="0" w:color="auto"/>
            <w:bottom w:val="none" w:sz="0" w:space="0" w:color="auto"/>
            <w:right w:val="none" w:sz="0" w:space="0" w:color="auto"/>
          </w:divBdr>
        </w:div>
        <w:div w:id="1127699833">
          <w:marLeft w:val="0"/>
          <w:marRight w:val="0"/>
          <w:marTop w:val="0"/>
          <w:marBottom w:val="0"/>
          <w:divBdr>
            <w:top w:val="none" w:sz="0" w:space="0" w:color="auto"/>
            <w:left w:val="none" w:sz="0" w:space="0" w:color="auto"/>
            <w:bottom w:val="none" w:sz="0" w:space="0" w:color="auto"/>
            <w:right w:val="none" w:sz="0" w:space="0" w:color="auto"/>
          </w:divBdr>
        </w:div>
        <w:div w:id="533426141">
          <w:marLeft w:val="0"/>
          <w:marRight w:val="0"/>
          <w:marTop w:val="0"/>
          <w:marBottom w:val="0"/>
          <w:divBdr>
            <w:top w:val="none" w:sz="0" w:space="0" w:color="auto"/>
            <w:left w:val="none" w:sz="0" w:space="0" w:color="auto"/>
            <w:bottom w:val="none" w:sz="0" w:space="0" w:color="auto"/>
            <w:right w:val="none" w:sz="0" w:space="0" w:color="auto"/>
          </w:divBdr>
        </w:div>
        <w:div w:id="445276795">
          <w:marLeft w:val="0"/>
          <w:marRight w:val="0"/>
          <w:marTop w:val="0"/>
          <w:marBottom w:val="0"/>
          <w:divBdr>
            <w:top w:val="none" w:sz="0" w:space="0" w:color="auto"/>
            <w:left w:val="none" w:sz="0" w:space="0" w:color="auto"/>
            <w:bottom w:val="none" w:sz="0" w:space="0" w:color="auto"/>
            <w:right w:val="none" w:sz="0" w:space="0" w:color="auto"/>
          </w:divBdr>
        </w:div>
      </w:divsChild>
    </w:div>
    <w:div w:id="1907690850">
      <w:bodyDiv w:val="1"/>
      <w:marLeft w:val="0"/>
      <w:marRight w:val="0"/>
      <w:marTop w:val="0"/>
      <w:marBottom w:val="0"/>
      <w:divBdr>
        <w:top w:val="none" w:sz="0" w:space="0" w:color="auto"/>
        <w:left w:val="none" w:sz="0" w:space="0" w:color="auto"/>
        <w:bottom w:val="none" w:sz="0" w:space="0" w:color="auto"/>
        <w:right w:val="none" w:sz="0" w:space="0" w:color="auto"/>
      </w:divBdr>
    </w:div>
    <w:div w:id="1926986821">
      <w:bodyDiv w:val="1"/>
      <w:marLeft w:val="0"/>
      <w:marRight w:val="0"/>
      <w:marTop w:val="0"/>
      <w:marBottom w:val="0"/>
      <w:divBdr>
        <w:top w:val="none" w:sz="0" w:space="0" w:color="auto"/>
        <w:left w:val="none" w:sz="0" w:space="0" w:color="auto"/>
        <w:bottom w:val="none" w:sz="0" w:space="0" w:color="auto"/>
        <w:right w:val="none" w:sz="0" w:space="0" w:color="auto"/>
      </w:divBdr>
    </w:div>
    <w:div w:id="19821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Harmon</dc:creator>
  <cp:keywords/>
  <dc:description/>
  <cp:lastModifiedBy>Andrew Harmon</cp:lastModifiedBy>
  <cp:revision>2</cp:revision>
  <dcterms:created xsi:type="dcterms:W3CDTF">2025-05-12T22:07:00Z</dcterms:created>
  <dcterms:modified xsi:type="dcterms:W3CDTF">2025-05-12T22:23:00Z</dcterms:modified>
</cp:coreProperties>
</file>